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numId w:val="0"/>
        </w:numPr>
        <w:ind w:leftChars="0"/>
        <w:jc w:val="center"/>
        <w:rPr>
          <w:rFonts w:hint="eastAsia"/>
          <w:color w:val="auto"/>
        </w:rPr>
      </w:pPr>
      <w:bookmarkStart w:id="0" w:name="_Toc22907"/>
      <w:r>
        <w:rPr>
          <w:rFonts w:hint="eastAsia"/>
          <w:color w:val="auto"/>
        </w:rPr>
        <w:t>技术、商务及其他要求</w:t>
      </w:r>
      <w:bookmarkEnd w:id="0"/>
      <w:bookmarkStart w:id="16" w:name="_GoBack"/>
      <w:bookmarkEnd w:id="16"/>
    </w:p>
    <w:p>
      <w:pPr>
        <w:numPr>
          <w:ilvl w:val="0"/>
          <w:numId w:val="2"/>
        </w:numPr>
        <w:spacing w:line="360" w:lineRule="auto"/>
        <w:rPr>
          <w:rFonts w:hint="eastAsia" w:ascii="宋体" w:hAnsi="宋体"/>
          <w:b/>
          <w:kern w:val="44"/>
          <w:sz w:val="24"/>
        </w:rPr>
      </w:pPr>
      <w:bookmarkStart w:id="1" w:name="_Toc9553"/>
      <w:r>
        <w:rPr>
          <w:rFonts w:hint="eastAsia" w:ascii="宋体" w:hAnsi="宋体"/>
          <w:b/>
          <w:kern w:val="44"/>
          <w:sz w:val="24"/>
        </w:rPr>
        <w:t>采购清单</w:t>
      </w:r>
    </w:p>
    <w:bookmarkEnd w:id="1"/>
    <w:tbl>
      <w:tblPr>
        <w:tblStyle w:val="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934"/>
        <w:gridCol w:w="4162"/>
        <w:gridCol w:w="771"/>
        <w:gridCol w:w="209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序号</w:t>
            </w:r>
          </w:p>
        </w:tc>
        <w:tc>
          <w:tcPr>
            <w:tcW w:w="934" w:type="dxa"/>
            <w:vAlign w:val="center"/>
          </w:tcPr>
          <w:p>
            <w:pPr>
              <w:widowControl/>
              <w:jc w:val="center"/>
              <w:rPr>
                <w:rFonts w:hint="eastAsia" w:ascii="宋体" w:hAnsi="宋体" w:cs="宋体"/>
              </w:rPr>
            </w:pPr>
            <w:r>
              <w:rPr>
                <w:rFonts w:hint="eastAsia" w:ascii="宋体" w:hAnsi="宋体" w:cs="宋体"/>
              </w:rPr>
              <w:t>器材名称</w:t>
            </w:r>
          </w:p>
        </w:tc>
        <w:tc>
          <w:tcPr>
            <w:tcW w:w="4162" w:type="dxa"/>
            <w:vAlign w:val="center"/>
          </w:tcPr>
          <w:p>
            <w:pPr>
              <w:jc w:val="center"/>
              <w:rPr>
                <w:rFonts w:hint="eastAsia" w:ascii="宋体" w:hAnsi="宋体" w:cs="宋体"/>
              </w:rPr>
            </w:pPr>
            <w:r>
              <w:rPr>
                <w:rFonts w:hint="eastAsia" w:ascii="宋体" w:hAnsi="宋体" w:cs="宋体"/>
              </w:rPr>
              <w:t>主要技术参数</w:t>
            </w:r>
          </w:p>
        </w:tc>
        <w:tc>
          <w:tcPr>
            <w:tcW w:w="771" w:type="dxa"/>
            <w:vAlign w:val="center"/>
          </w:tcPr>
          <w:p>
            <w:pPr>
              <w:jc w:val="center"/>
              <w:rPr>
                <w:rFonts w:hint="eastAsia" w:ascii="宋体" w:hAnsi="宋体" w:cs="宋体"/>
              </w:rPr>
            </w:pPr>
            <w:r>
              <w:rPr>
                <w:rFonts w:hint="eastAsia" w:ascii="宋体" w:hAnsi="宋体" w:cs="宋体"/>
              </w:rPr>
              <w:t>数量（套）</w:t>
            </w:r>
          </w:p>
        </w:tc>
        <w:tc>
          <w:tcPr>
            <w:tcW w:w="2095" w:type="dxa"/>
            <w:vAlign w:val="center"/>
          </w:tcPr>
          <w:p>
            <w:pPr>
              <w:jc w:val="center"/>
              <w:rPr>
                <w:rFonts w:hint="eastAsia" w:ascii="宋体" w:hAnsi="宋体" w:cs="宋体"/>
              </w:rPr>
            </w:pPr>
            <w:r>
              <w:rPr>
                <w:rFonts w:hint="eastAsia" w:ascii="宋体" w:hAnsi="宋体" w:cs="宋体"/>
              </w:rPr>
              <w:t>参考图片</w:t>
            </w:r>
          </w:p>
        </w:tc>
        <w:tc>
          <w:tcPr>
            <w:tcW w:w="775" w:type="dxa"/>
            <w:vAlign w:val="center"/>
          </w:tcPr>
          <w:p>
            <w:pPr>
              <w:jc w:val="center"/>
              <w:rPr>
                <w:rFonts w:hint="eastAsia"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1</w:t>
            </w:r>
          </w:p>
        </w:tc>
        <w:tc>
          <w:tcPr>
            <w:tcW w:w="934" w:type="dxa"/>
            <w:vAlign w:val="center"/>
          </w:tcPr>
          <w:p>
            <w:pPr>
              <w:widowControl/>
              <w:jc w:val="center"/>
              <w:rPr>
                <w:rFonts w:hint="eastAsia" w:ascii="宋体" w:hAnsi="宋体" w:cs="宋体"/>
              </w:rPr>
            </w:pPr>
            <w:r>
              <w:rPr>
                <w:rFonts w:hint="eastAsia" w:ascii="宋体" w:hAnsi="宋体" w:cs="宋体"/>
              </w:rPr>
              <w:t>篮球架</w:t>
            </w:r>
          </w:p>
        </w:tc>
        <w:tc>
          <w:tcPr>
            <w:tcW w:w="4162" w:type="dxa"/>
            <w:vAlign w:val="center"/>
          </w:tcPr>
          <w:p>
            <w:pPr>
              <w:widowControl/>
              <w:jc w:val="left"/>
              <w:rPr>
                <w:rFonts w:hint="eastAsia" w:ascii="宋体" w:hAnsi="宋体" w:cs="宋体"/>
                <w:sz w:val="22"/>
              </w:rPr>
            </w:pPr>
            <w:r>
              <w:rPr>
                <w:rFonts w:hint="eastAsia" w:ascii="宋体" w:hAnsi="宋体" w:cs="宋体"/>
                <w:sz w:val="22"/>
              </w:rPr>
              <w:t>篮板尺寸：1800×1050（mm）； 主立柱、悬臂壁厚为4（mm）；5点连接；SMC篮板；结构特点：1) 篮球架结构尺寸应符合GB 23176-2008中4.1规定的练习型；2) 篮板应选用GB19272-2011中5.12.1.3.2规定的1800mm×1050mm的矩形篮板（材质为SMC），篮板面板厚度为5mm，翻边宽度为50mm，翻边厚度为7.8mm，背面用“#”字形加强筋，加强筋厚度为不低于5mm；3) 篮板的质量应满足GB19272-2011中5.12.1.3.3条至5.12.1.3.6条的要求；矩形篮板背部连接有不少于5点的连接安装位置，且安装位置尺寸符合GB19272-2011中图21a）的要求；4) 篮球架立柱、悬臂梁直径为Φ165mm、壁厚应为4mm，一次冷弯成形，且满足GB19272-2011标准中相关静载荷、稳定性试验要求；5) 篮圈：采用实心钢材制成，篮圈圈条直径为Φ18mm，篮圈内径为450-459 mm；篮圈下沿有12个均匀分布篮网装置，装置无锐边、毛刺，且装置不大于8 mm的间隙；篮圈选用弹性篮圈,在去除压力后可自动返回原位置。6) 篮板支撑：篮架上、下拉杆采用Φ48×2mm优质钢管在弯管机上一次成型。通过调节上下拉杆可调节篮板的平面度和垂直度。7) 安装技术参数：篮圈上沿距地面高度3050mm，悬臂长度不低于1800mm；8) 所有金属件焊后抛丸，静电喷涂，要求喷涂表面均匀全覆盖，结合牢固，不起皮脱落、漏涂、锈蚀、裂痕以及较明显的流痕、花斑、结点等缺陷，涂层厚度70µm。产品涂料配方中有毒有害元素的含量满足GB19272-2011中5.2.6的要求。各部件焊接牢固，无漏焊、虚焊、夹渣、裂纹等缺陷。9) 主要承载立柱应采用直接埋入地下的结构，立柱埋入深度900mm，地埋尺寸800mm×800mm×1000mm。10）各连接部位采用螺栓、螺钉紧固，防松、防盗、防锈。</w:t>
            </w:r>
          </w:p>
        </w:tc>
        <w:tc>
          <w:tcPr>
            <w:tcW w:w="771" w:type="dxa"/>
            <w:vAlign w:val="center"/>
          </w:tcPr>
          <w:p>
            <w:pPr>
              <w:widowControl/>
              <w:jc w:val="center"/>
              <w:rPr>
                <w:rFonts w:hint="eastAsia" w:ascii="宋体" w:hAnsi="宋体" w:cs="宋体"/>
              </w:rPr>
            </w:pPr>
            <w:r>
              <w:rPr>
                <w:rFonts w:hint="eastAsia" w:ascii="宋体" w:hAnsi="宋体" w:cs="宋体"/>
              </w:rPr>
              <w:t>6.5</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887095" cy="1638300"/>
                  <wp:effectExtent l="0" t="0" r="8255" b="0"/>
                  <wp:docPr id="1" name="图片 1" descr="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0"/>
                          <pic:cNvPicPr>
                            <a:picLocks noChangeAspect="1"/>
                          </pic:cNvPicPr>
                        </pic:nvPicPr>
                        <pic:blipFill>
                          <a:blip r:embed="rId4"/>
                          <a:stretch>
                            <a:fillRect/>
                          </a:stretch>
                        </pic:blipFill>
                        <pic:spPr>
                          <a:xfrm>
                            <a:off x="0" y="0"/>
                            <a:ext cx="887095" cy="1638300"/>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2</w:t>
            </w:r>
          </w:p>
        </w:tc>
        <w:tc>
          <w:tcPr>
            <w:tcW w:w="934" w:type="dxa"/>
            <w:vAlign w:val="center"/>
          </w:tcPr>
          <w:p>
            <w:pPr>
              <w:jc w:val="center"/>
              <w:rPr>
                <w:rFonts w:hint="eastAsia" w:ascii="宋体" w:hAnsi="宋体" w:cs="宋体"/>
              </w:rPr>
            </w:pPr>
            <w:r>
              <w:rPr>
                <w:rFonts w:hint="eastAsia" w:ascii="宋体" w:hAnsi="宋体" w:cs="宋体"/>
              </w:rPr>
              <w:t>乒乓球台</w:t>
            </w:r>
          </w:p>
        </w:tc>
        <w:tc>
          <w:tcPr>
            <w:tcW w:w="4162" w:type="dxa"/>
            <w:vAlign w:val="center"/>
          </w:tcPr>
          <w:p>
            <w:pPr>
              <w:rPr>
                <w:rFonts w:hint="eastAsia" w:ascii="宋体" w:hAnsi="宋体" w:cs="宋体"/>
                <w:sz w:val="22"/>
              </w:rPr>
            </w:pPr>
            <w:r>
              <w:rPr>
                <w:rFonts w:hint="eastAsia" w:ascii="宋体" w:hAnsi="宋体" w:cs="宋体"/>
                <w:sz w:val="22"/>
              </w:rPr>
              <w:t>台面尺寸：2740×1565 × 1012（mm）；台高：760（mm）；台面背部采用钢管支撑架连接，支撑框架管壁厚度2mm，球台主立柱壁厚3mm；SMC台板；结构特点：1) 台面规格：2740×1525mm。</w:t>
            </w:r>
            <w:r>
              <w:rPr>
                <w:rFonts w:hint="eastAsia" w:ascii="宋体" w:hAnsi="宋体" w:cs="宋体"/>
                <w:sz w:val="22"/>
              </w:rPr>
              <w:br w:type="textWrapping"/>
            </w:r>
            <w:r>
              <w:rPr>
                <w:rFonts w:hint="eastAsia" w:ascii="宋体" w:hAnsi="宋体" w:cs="宋体"/>
                <w:sz w:val="22"/>
              </w:rPr>
              <w:t>2）台面采用SMC片状模塑料，整体高温模压一次成型。</w:t>
            </w:r>
            <w:r>
              <w:rPr>
                <w:rFonts w:hint="eastAsia" w:ascii="宋体" w:hAnsi="宋体" w:cs="宋体"/>
                <w:sz w:val="22"/>
              </w:rPr>
              <w:br w:type="textWrapping"/>
            </w:r>
            <w:r>
              <w:rPr>
                <w:rFonts w:hint="eastAsia" w:ascii="宋体" w:hAnsi="宋体" w:cs="宋体"/>
                <w:sz w:val="22"/>
              </w:rPr>
              <w:t>3）台面面板厚度4.5 mm，翻边宽度50mm，翻边厚度7mm。面板背面必须采用“#”字形加强筋并在内部预埋螺丝，加强筋厚度不低于4mm，“#”字形加强筋呈小长方形均匀排列，每个小长方形尺寸不大于160×140mm。</w:t>
            </w:r>
            <w:r>
              <w:rPr>
                <w:rFonts w:hint="eastAsia" w:ascii="宋体" w:hAnsi="宋体" w:cs="宋体"/>
                <w:sz w:val="22"/>
              </w:rPr>
              <w:br w:type="textWrapping"/>
            </w:r>
            <w:r>
              <w:rPr>
                <w:rFonts w:hint="eastAsia" w:ascii="宋体" w:hAnsi="宋体" w:cs="宋体"/>
                <w:sz w:val="22"/>
              </w:rPr>
              <w:t>4）台面喷深蓝色漆，使用高压喷涂烤漆，手摸不掉色，褪色率达5年以上。</w:t>
            </w:r>
            <w:r>
              <w:rPr>
                <w:rFonts w:hint="eastAsia" w:ascii="宋体" w:hAnsi="宋体" w:cs="宋体"/>
                <w:sz w:val="22"/>
              </w:rPr>
              <w:br w:type="textWrapping"/>
            </w:r>
            <w:r>
              <w:rPr>
                <w:rFonts w:hint="eastAsia" w:ascii="宋体" w:hAnsi="宋体" w:cs="宋体"/>
                <w:sz w:val="22"/>
              </w:rPr>
              <w:t>5) 台面经1040g±2g的刚性球体从距台面1000mm高处自由落体冲击测试后不损坏，台面弹性应为230mm～260mm；</w:t>
            </w:r>
          </w:p>
          <w:p>
            <w:pPr>
              <w:rPr>
                <w:rFonts w:hint="eastAsia" w:ascii="宋体" w:hAnsi="宋体" w:cs="宋体"/>
                <w:sz w:val="22"/>
              </w:rPr>
            </w:pPr>
            <w:r>
              <w:rPr>
                <w:rFonts w:hint="eastAsia" w:ascii="宋体" w:hAnsi="宋体" w:cs="宋体"/>
                <w:sz w:val="22"/>
              </w:rPr>
              <w:t>6）台板底部采用托管支撑，支撑框架管壁厚度不小于2mm，每半块板面支撑框架应不少于4横4纵支撑管连接，球台与支撑框架安装位置应符合GB9272-2011中图22的尺寸要求。</w:t>
            </w:r>
            <w:r>
              <w:rPr>
                <w:rFonts w:hint="eastAsia" w:ascii="宋体" w:hAnsi="宋体" w:cs="宋体"/>
                <w:sz w:val="22"/>
              </w:rPr>
              <w:br w:type="textWrapping"/>
            </w:r>
            <w:r>
              <w:rPr>
                <w:rFonts w:hint="eastAsia" w:ascii="宋体" w:hAnsi="宋体" w:cs="宋体"/>
                <w:sz w:val="22"/>
              </w:rPr>
              <w:t>7）为保证台板的稳定性，两块台板与主架的连接均采用四角连接。使台面大面积与支腿构成整体。</w:t>
            </w:r>
            <w:r>
              <w:rPr>
                <w:rFonts w:hint="eastAsia" w:ascii="宋体" w:hAnsi="宋体" w:cs="宋体"/>
                <w:sz w:val="22"/>
              </w:rPr>
              <w:br w:type="textWrapping"/>
            </w:r>
            <w:r>
              <w:rPr>
                <w:rFonts w:hint="eastAsia" w:ascii="宋体" w:hAnsi="宋体" w:cs="宋体"/>
                <w:sz w:val="22"/>
              </w:rPr>
              <w:t>8）所有腿架连接板等采用抛丸工艺，静电粉沫高压喷涂烤漆处理，且产品涂料配方中有毒有害元素的含量满足GB19272-2011中5.2.6的要求，避免损害使用者健康。</w:t>
            </w:r>
            <w:r>
              <w:rPr>
                <w:rFonts w:hint="eastAsia" w:ascii="宋体" w:hAnsi="宋体" w:cs="宋体"/>
                <w:sz w:val="22"/>
              </w:rPr>
              <w:br w:type="textWrapping"/>
            </w:r>
            <w:r>
              <w:rPr>
                <w:rFonts w:hint="eastAsia" w:ascii="宋体" w:hAnsi="宋体" w:cs="宋体"/>
                <w:sz w:val="22"/>
              </w:rPr>
              <w:t>9）各连接部位采用螺栓、螺钉紧固，防松、防盗、防锈。</w:t>
            </w:r>
          </w:p>
        </w:tc>
        <w:tc>
          <w:tcPr>
            <w:tcW w:w="771" w:type="dxa"/>
            <w:vAlign w:val="center"/>
          </w:tcPr>
          <w:p>
            <w:pPr>
              <w:jc w:val="center"/>
              <w:rPr>
                <w:rFonts w:hint="eastAsia" w:ascii="宋体" w:hAnsi="宋体" w:cs="宋体"/>
              </w:rPr>
            </w:pPr>
            <w:r>
              <w:rPr>
                <w:rFonts w:hint="eastAsia" w:ascii="宋体" w:hAnsi="宋体" w:cs="宋体"/>
              </w:rPr>
              <w:t>153</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1322070" cy="685165"/>
                  <wp:effectExtent l="0" t="0" r="11430" b="635"/>
                  <wp:docPr id="2" name="图片 2" descr="JS-0232E副本（贵阳专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JS-0232E副本（贵阳专用）"/>
                          <pic:cNvPicPr>
                            <a:picLocks noChangeAspect="1"/>
                          </pic:cNvPicPr>
                        </pic:nvPicPr>
                        <pic:blipFill>
                          <a:blip r:embed="rId5"/>
                          <a:srcRect t="25432" r="3448" b="7144"/>
                          <a:stretch>
                            <a:fillRect/>
                          </a:stretch>
                        </pic:blipFill>
                        <pic:spPr>
                          <a:xfrm>
                            <a:off x="0" y="0"/>
                            <a:ext cx="1322070" cy="685165"/>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3</w:t>
            </w:r>
          </w:p>
        </w:tc>
        <w:tc>
          <w:tcPr>
            <w:tcW w:w="934" w:type="dxa"/>
            <w:vAlign w:val="center"/>
          </w:tcPr>
          <w:p>
            <w:pPr>
              <w:jc w:val="center"/>
              <w:rPr>
                <w:rFonts w:hint="eastAsia" w:ascii="宋体" w:hAnsi="宋体" w:cs="宋体"/>
              </w:rPr>
            </w:pPr>
            <w:r>
              <w:rPr>
                <w:rFonts w:hint="eastAsia" w:ascii="宋体" w:hAnsi="宋体" w:cs="宋体"/>
              </w:rPr>
              <w:t>告示牌</w:t>
            </w:r>
          </w:p>
        </w:tc>
        <w:tc>
          <w:tcPr>
            <w:tcW w:w="4162" w:type="dxa"/>
            <w:vAlign w:val="center"/>
          </w:tcPr>
          <w:p>
            <w:pPr>
              <w:rPr>
                <w:rFonts w:hint="eastAsia" w:ascii="宋体" w:hAnsi="宋体" w:cs="宋体"/>
                <w:sz w:val="22"/>
              </w:rPr>
            </w:pPr>
            <w:r>
              <w:rPr>
                <w:rFonts w:hint="eastAsia" w:ascii="宋体" w:hAnsi="宋体" w:cs="宋体"/>
                <w:sz w:val="22"/>
              </w:rPr>
              <w:t>每套产品配有双面不锈钢标识牌，牌面内容由采购人指定，且两层版面之间采用框架结构，增强版面的平整及牢固性；标识牌由不锈钢材质表面蚀字工艺制作而成，在整套产品安全使用寿命期限内可保证内容清晰可见。具体内容可视用户要求制作（左侧为示范牌）。结构特点：1）立柱采用Φ114mm外径，壁厚3.0mm钢管；2）面板为1mm厚哑光不锈钢材质，文字采用腐蚀凹凸印刷，尺寸600×900mm；3）面板与框架装配后上下两端面有铝型材扣件，整件器材无V型开口，无头颈卡夹危险； 4）采用双立柱两块面板结构。5）立柱采用外扣式钢制封头，可防止雨水流入。</w:t>
            </w:r>
          </w:p>
        </w:tc>
        <w:tc>
          <w:tcPr>
            <w:tcW w:w="771" w:type="dxa"/>
            <w:vAlign w:val="center"/>
          </w:tcPr>
          <w:p>
            <w:pPr>
              <w:jc w:val="center"/>
              <w:rPr>
                <w:rFonts w:hint="eastAsia" w:ascii="宋体" w:hAnsi="宋体" w:cs="宋体"/>
              </w:rPr>
            </w:pPr>
            <w:r>
              <w:rPr>
                <w:rFonts w:hint="eastAsia" w:ascii="宋体" w:hAnsi="宋体" w:cs="宋体"/>
              </w:rPr>
              <w:t>114</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980440" cy="1217930"/>
                  <wp:effectExtent l="0" t="0" r="10160" b="1270"/>
                  <wp:docPr id="3" name="图片 3" descr="JS-589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JS-589Y"/>
                          <pic:cNvPicPr>
                            <a:picLocks noChangeAspect="1"/>
                          </pic:cNvPicPr>
                        </pic:nvPicPr>
                        <pic:blipFill>
                          <a:blip r:embed="rId6"/>
                          <a:stretch>
                            <a:fillRect/>
                          </a:stretch>
                        </pic:blipFill>
                        <pic:spPr>
                          <a:xfrm>
                            <a:off x="0" y="0"/>
                            <a:ext cx="980440" cy="1217930"/>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4</w:t>
            </w:r>
          </w:p>
        </w:tc>
        <w:tc>
          <w:tcPr>
            <w:tcW w:w="934" w:type="dxa"/>
            <w:vAlign w:val="center"/>
          </w:tcPr>
          <w:p>
            <w:pPr>
              <w:jc w:val="center"/>
              <w:rPr>
                <w:rFonts w:hint="eastAsia" w:ascii="宋体" w:hAnsi="宋体" w:cs="宋体"/>
              </w:rPr>
            </w:pPr>
            <w:r>
              <w:rPr>
                <w:rFonts w:hint="eastAsia" w:ascii="宋体" w:hAnsi="宋体" w:cs="宋体"/>
              </w:rPr>
              <w:t>太极揉推器</w:t>
            </w:r>
          </w:p>
        </w:tc>
        <w:tc>
          <w:tcPr>
            <w:tcW w:w="4162" w:type="dxa"/>
            <w:vAlign w:val="center"/>
          </w:tcPr>
          <w:p>
            <w:pPr>
              <w:rPr>
                <w:rFonts w:hint="eastAsia" w:ascii="宋体" w:hAnsi="宋体" w:cs="宋体"/>
                <w:sz w:val="22"/>
              </w:rPr>
            </w:pPr>
            <w:r>
              <w:rPr>
                <w:rFonts w:hint="eastAsia" w:ascii="宋体" w:hAnsi="宋体" w:cs="宋体"/>
                <w:sz w:val="22"/>
              </w:rPr>
              <w:t>结构特点：</w:t>
            </w:r>
            <w:r>
              <w:rPr>
                <w:rFonts w:hint="eastAsia" w:ascii="宋体" w:hAnsi="宋体" w:cs="宋体"/>
                <w:szCs w:val="21"/>
              </w:rPr>
              <w:t>1) 主要承载立柱采用Φ114mm、壁厚3.0mm标准管材，并与其他管材同时满足GB19272—2011标准中相关静载荷、稳定性要求；2)转盘转动部位内置阻尼装置，阻尼力矩符合人体运动学规律；3)2个转盘间距不低于235mm，无卡夹危险；4)立柱采用外扣式钢制封头，可防止雨水流入。 所有金属件焊后抛丸，静电喷涂，要求喷涂表面均匀全覆盖，结合牢固，不起皮脱落、漏涂、锈蚀、裂痕以及较明显的流痕、花斑、结点等缺陷，涂层厚度70µm。产品涂料配方中有毒有害元素的含量满足GB19272-2011中5.2.6的要求。各部件焊接牢固，无漏焊、虚焊、夹渣、裂纹等缺陷；各连接部位采用螺栓、螺钉紧固，防松、防盗、防锈。</w:t>
            </w:r>
          </w:p>
        </w:tc>
        <w:tc>
          <w:tcPr>
            <w:tcW w:w="771" w:type="dxa"/>
            <w:vAlign w:val="center"/>
          </w:tcPr>
          <w:p>
            <w:pPr>
              <w:jc w:val="center"/>
              <w:rPr>
                <w:rFonts w:hint="eastAsia" w:ascii="宋体" w:hAnsi="宋体" w:cs="宋体"/>
              </w:rPr>
            </w:pPr>
            <w:r>
              <w:rPr>
                <w:rFonts w:hint="eastAsia" w:ascii="宋体" w:hAnsi="宋体" w:cs="宋体"/>
              </w:rPr>
              <w:t>114</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1131570" cy="1024890"/>
                  <wp:effectExtent l="0" t="0" r="11430" b="3810"/>
                  <wp:docPr id="4" name="图片 4" descr="285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85Y"/>
                          <pic:cNvPicPr>
                            <a:picLocks noChangeAspect="1"/>
                          </pic:cNvPicPr>
                        </pic:nvPicPr>
                        <pic:blipFill>
                          <a:blip r:embed="rId7"/>
                          <a:stretch>
                            <a:fillRect/>
                          </a:stretch>
                        </pic:blipFill>
                        <pic:spPr>
                          <a:xfrm>
                            <a:off x="0" y="0"/>
                            <a:ext cx="1131570" cy="1024890"/>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5</w:t>
            </w:r>
          </w:p>
        </w:tc>
        <w:tc>
          <w:tcPr>
            <w:tcW w:w="934" w:type="dxa"/>
            <w:vAlign w:val="center"/>
          </w:tcPr>
          <w:p>
            <w:pPr>
              <w:jc w:val="center"/>
              <w:rPr>
                <w:rFonts w:hint="eastAsia" w:ascii="宋体" w:hAnsi="宋体" w:cs="宋体"/>
              </w:rPr>
            </w:pPr>
            <w:r>
              <w:rPr>
                <w:rFonts w:hint="eastAsia" w:ascii="宋体" w:hAnsi="宋体" w:cs="宋体"/>
              </w:rPr>
              <w:t>双位扭腰器</w:t>
            </w:r>
          </w:p>
        </w:tc>
        <w:tc>
          <w:tcPr>
            <w:tcW w:w="4162" w:type="dxa"/>
            <w:vAlign w:val="center"/>
          </w:tcPr>
          <w:p>
            <w:pPr>
              <w:rPr>
                <w:rFonts w:hint="eastAsia" w:ascii="宋体" w:hAnsi="宋体" w:cs="宋体"/>
                <w:sz w:val="22"/>
              </w:rPr>
            </w:pPr>
            <w:r>
              <w:rPr>
                <w:rFonts w:hint="eastAsia" w:ascii="宋体" w:hAnsi="宋体" w:cs="宋体"/>
                <w:sz w:val="22"/>
              </w:rPr>
              <w:t>可同时满足二人使用，一人站姿使用，一人坐姿使用；结构特点：1）主要承载立柱采用Φ114mm、壁厚3.0mm标准管材，并与其他管材同时满足GB19272—2011标准中相关静载荷、稳定性要求；2) 扭腰盘采用4.0mm厚钢板冲压成型，内置阻尼装置，阻尼力矩符合人体运动学规律；3) 转动部位采用国家标准轴承，并采用有效的防水和防尘措施；4） 脚踏部位采用防滑结构设计，双脚站立防滑面积大于（6×104）mm²为66.18mm²，摩擦系数大于0.5；5）转轴直径不小于∮25；6）不存在缠绕，钩挂，卡夹结构；7) 立柱采用外扣式钢制封头，可防止雨水流入。 所有金属件焊后抛丸，静电喷涂，要求喷涂表面均匀全覆盖，结合牢固，不起皮脱落、漏涂、锈蚀、裂痕以及较明显的流痕、花斑、结点等缺陷，涂层厚度70µm。产品涂料配方中有毒有害元素的含量满足GB19272-2011中5.2.6的要求。各部件焊接牢固，无漏焊、虚焊、夹渣、裂纹等缺陷；各连接部位采用螺栓、螺钉紧固，防松、防盗、防锈。</w:t>
            </w:r>
          </w:p>
        </w:tc>
        <w:tc>
          <w:tcPr>
            <w:tcW w:w="771" w:type="dxa"/>
            <w:vAlign w:val="center"/>
          </w:tcPr>
          <w:p>
            <w:pPr>
              <w:jc w:val="center"/>
              <w:rPr>
                <w:rFonts w:hint="eastAsia" w:ascii="宋体" w:hAnsi="宋体" w:cs="宋体"/>
              </w:rPr>
            </w:pPr>
            <w:r>
              <w:rPr>
                <w:rFonts w:hint="eastAsia" w:ascii="宋体" w:hAnsi="宋体" w:cs="宋体"/>
              </w:rPr>
              <w:t>114</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989330" cy="1176655"/>
                  <wp:effectExtent l="0" t="0" r="127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989330" cy="1176655"/>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6</w:t>
            </w:r>
          </w:p>
        </w:tc>
        <w:tc>
          <w:tcPr>
            <w:tcW w:w="934" w:type="dxa"/>
            <w:vAlign w:val="center"/>
          </w:tcPr>
          <w:p>
            <w:pPr>
              <w:jc w:val="center"/>
              <w:rPr>
                <w:rFonts w:hint="eastAsia" w:ascii="宋体" w:hAnsi="宋体" w:cs="宋体"/>
              </w:rPr>
            </w:pPr>
            <w:r>
              <w:rPr>
                <w:rFonts w:hint="eastAsia" w:ascii="宋体" w:hAnsi="宋体" w:cs="宋体"/>
              </w:rPr>
              <w:t>多功能按摩器</w:t>
            </w:r>
          </w:p>
        </w:tc>
        <w:tc>
          <w:tcPr>
            <w:tcW w:w="4162" w:type="dxa"/>
            <w:vAlign w:val="center"/>
          </w:tcPr>
          <w:p>
            <w:pPr>
              <w:rPr>
                <w:rFonts w:hint="eastAsia" w:ascii="宋体" w:hAnsi="宋体" w:cs="宋体"/>
                <w:sz w:val="22"/>
              </w:rPr>
            </w:pPr>
            <w:r>
              <w:rPr>
                <w:rFonts w:hint="eastAsia" w:ascii="宋体" w:hAnsi="宋体" w:cs="宋体"/>
                <w:sz w:val="22"/>
              </w:rPr>
              <w:t>可同时满足二人使用，分别实现手部、腿部、腰部按摩功能；结构特点：1) 主要承载立柱尺寸：采用Φ114mm优质钢管，壁厚3.0mm；</w:t>
            </w:r>
            <w:r>
              <w:rPr>
                <w:rFonts w:hint="eastAsia" w:ascii="宋体" w:hAnsi="宋体" w:cs="宋体"/>
                <w:sz w:val="22"/>
              </w:rPr>
              <w:br w:type="textWrapping"/>
            </w:r>
            <w:r>
              <w:rPr>
                <w:rFonts w:hint="eastAsia" w:ascii="宋体" w:hAnsi="宋体" w:cs="宋体"/>
                <w:sz w:val="22"/>
              </w:rPr>
              <w:t>2) 扶手采用∮32mm×2.5mm优质钢管, 揉推盘采用ABS材质，直径∮284mm，按摩轮采用ABS材质，直径∮110mm ；</w:t>
            </w:r>
            <w:r>
              <w:rPr>
                <w:rFonts w:hint="eastAsia" w:ascii="宋体" w:hAnsi="宋体" w:cs="宋体"/>
                <w:sz w:val="22"/>
              </w:rPr>
              <w:br w:type="textWrapping"/>
            </w:r>
            <w:r>
              <w:rPr>
                <w:rFonts w:hint="eastAsia" w:ascii="宋体" w:hAnsi="宋体" w:cs="宋体"/>
                <w:sz w:val="22"/>
              </w:rPr>
              <w:t>3) 立柱顶部采用冲压钢制封头，可防止雨水流入；</w:t>
            </w:r>
            <w:r>
              <w:rPr>
                <w:rFonts w:hint="eastAsia" w:ascii="宋体" w:hAnsi="宋体" w:cs="宋体"/>
                <w:sz w:val="22"/>
              </w:rPr>
              <w:br w:type="textWrapping"/>
            </w:r>
            <w:r>
              <w:rPr>
                <w:rFonts w:hint="eastAsia" w:ascii="宋体" w:hAnsi="宋体" w:cs="宋体"/>
                <w:sz w:val="22"/>
              </w:rPr>
              <w:t>4) 转轴装有阻尼装置，防止转盘快速空转，轴承部位装有防水防尘装置； 所有金属件焊后抛丸，静电喷涂，要求喷涂表面均匀全覆盖，结合牢固，不起皮脱落、漏涂、锈蚀、裂痕以及较明显的流痕、花斑、结点等缺陷，涂层厚度70µm。产品涂料配方中有毒有害元素的含量满足GB19272-2011中5.2.6的要求。各部件焊接牢固，无漏焊、虚焊、夹渣、裂纹等缺陷；各连接部位采用螺栓、螺钉紧固，防松、防盗、防锈。</w:t>
            </w:r>
          </w:p>
        </w:tc>
        <w:tc>
          <w:tcPr>
            <w:tcW w:w="771" w:type="dxa"/>
            <w:vAlign w:val="center"/>
          </w:tcPr>
          <w:p>
            <w:pPr>
              <w:jc w:val="center"/>
              <w:rPr>
                <w:rFonts w:hint="eastAsia" w:ascii="宋体" w:hAnsi="宋体" w:cs="宋体"/>
              </w:rPr>
            </w:pPr>
            <w:r>
              <w:rPr>
                <w:rFonts w:hint="eastAsia" w:ascii="宋体" w:hAnsi="宋体" w:cs="宋体"/>
              </w:rPr>
              <w:t>114</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1057275" cy="1640205"/>
                  <wp:effectExtent l="0" t="0" r="9525"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057275" cy="1640205"/>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7</w:t>
            </w:r>
          </w:p>
        </w:tc>
        <w:tc>
          <w:tcPr>
            <w:tcW w:w="934" w:type="dxa"/>
            <w:vAlign w:val="center"/>
          </w:tcPr>
          <w:p>
            <w:pPr>
              <w:jc w:val="center"/>
              <w:rPr>
                <w:rFonts w:hint="eastAsia" w:ascii="宋体" w:hAnsi="宋体" w:cs="宋体"/>
              </w:rPr>
            </w:pPr>
            <w:r>
              <w:rPr>
                <w:rFonts w:hint="eastAsia" w:ascii="宋体" w:hAnsi="宋体" w:cs="宋体"/>
              </w:rPr>
              <w:t>室外漫步机</w:t>
            </w:r>
          </w:p>
        </w:tc>
        <w:tc>
          <w:tcPr>
            <w:tcW w:w="4162" w:type="dxa"/>
            <w:vAlign w:val="center"/>
          </w:tcPr>
          <w:p>
            <w:pPr>
              <w:rPr>
                <w:rFonts w:hint="eastAsia" w:ascii="宋体" w:hAnsi="宋体" w:cs="宋体"/>
                <w:sz w:val="22"/>
              </w:rPr>
            </w:pPr>
            <w:r>
              <w:rPr>
                <w:rFonts w:hint="eastAsia" w:ascii="宋体" w:hAnsi="宋体" w:cs="宋体"/>
                <w:sz w:val="22"/>
              </w:rPr>
              <w:t>可二人同时使用；结构特点：1)立柱采用Φ114mm，壁厚3.0mm钢管；2)摆动部件底面距地面（或底面）高度不低于110mm ；3)长度大于踏板周长2/3的防滑的凸台，高度大于30mm，相邻两踏板距离330~350mm，踏板前后两端设置防撞缓冲垫；4)摆臂与主立柱间距不低于 65mm，无卡夹危险；5)摆臂单侧最大摆动幅度为55°，摆动部位设置可靠的限位装置，且不存在刚性碰撞；6)摆杠管材规格为50×50×3mm;7)两踏板间的最小距离不低于190 mm;8)人体易接触区域无剪切点、卡夹、钩挂、缠绕结构。9)立柱采用外扣式钢制封头，可防止雨水流入。 所有金属件焊后抛丸，静电喷涂，要求喷涂表面均匀全覆盖，结合牢固，不起皮脱落、漏涂、锈蚀、裂痕以及较明显的流痕、花斑、结点等缺陷，涂层厚度70µm。产品涂料配方中有毒有害元素的含量满足GB19272-2011中5.2.6的要求。各部件焊接牢固，无漏焊、虚焊、夹渣、裂纹等缺陷；各连接部位采用螺栓、螺钉紧固，防松、防盗、防锈。</w:t>
            </w:r>
          </w:p>
        </w:tc>
        <w:tc>
          <w:tcPr>
            <w:tcW w:w="771" w:type="dxa"/>
            <w:vAlign w:val="center"/>
          </w:tcPr>
          <w:p>
            <w:pPr>
              <w:jc w:val="center"/>
              <w:rPr>
                <w:rFonts w:hint="eastAsia" w:ascii="宋体" w:hAnsi="宋体" w:cs="宋体"/>
              </w:rPr>
            </w:pPr>
            <w:r>
              <w:rPr>
                <w:rFonts w:hint="eastAsia" w:ascii="宋体" w:hAnsi="宋体" w:cs="宋体"/>
              </w:rPr>
              <w:t>114</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1132840" cy="1058545"/>
                  <wp:effectExtent l="0" t="0" r="10160" b="8255"/>
                  <wp:docPr id="7" name="图片 7" descr="JS-0231T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JS-0231T 副本"/>
                          <pic:cNvPicPr>
                            <a:picLocks noChangeAspect="1"/>
                          </pic:cNvPicPr>
                        </pic:nvPicPr>
                        <pic:blipFill>
                          <a:blip r:embed="rId10"/>
                          <a:stretch>
                            <a:fillRect/>
                          </a:stretch>
                        </pic:blipFill>
                        <pic:spPr>
                          <a:xfrm>
                            <a:off x="0" y="0"/>
                            <a:ext cx="1132840" cy="1058545"/>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8</w:t>
            </w:r>
          </w:p>
        </w:tc>
        <w:tc>
          <w:tcPr>
            <w:tcW w:w="934" w:type="dxa"/>
            <w:vAlign w:val="center"/>
          </w:tcPr>
          <w:p>
            <w:pPr>
              <w:jc w:val="center"/>
              <w:rPr>
                <w:rFonts w:hint="eastAsia" w:ascii="宋体" w:hAnsi="宋体" w:cs="宋体"/>
              </w:rPr>
            </w:pPr>
            <w:r>
              <w:rPr>
                <w:rFonts w:hint="eastAsia" w:ascii="宋体" w:hAnsi="宋体" w:cs="宋体"/>
              </w:rPr>
              <w:t>划船器</w:t>
            </w:r>
          </w:p>
        </w:tc>
        <w:tc>
          <w:tcPr>
            <w:tcW w:w="4162" w:type="dxa"/>
            <w:vAlign w:val="center"/>
          </w:tcPr>
          <w:p>
            <w:pPr>
              <w:rPr>
                <w:rFonts w:hint="eastAsia" w:ascii="宋体" w:hAnsi="宋体" w:cs="宋体"/>
                <w:sz w:val="22"/>
              </w:rPr>
            </w:pPr>
            <w:r>
              <w:rPr>
                <w:rFonts w:hint="eastAsia" w:ascii="宋体" w:hAnsi="宋体" w:cs="宋体"/>
                <w:sz w:val="22"/>
              </w:rPr>
              <w:t>结构特点：1) 器材运动至下极限位置时，活动杆件底部距底管的闭合封口不小于φ230mm；</w:t>
            </w:r>
            <w:r>
              <w:rPr>
                <w:rFonts w:hint="eastAsia" w:ascii="宋体" w:hAnsi="宋体" w:cs="宋体"/>
                <w:sz w:val="22"/>
              </w:rPr>
              <w:br w:type="textWrapping"/>
            </w:r>
            <w:r>
              <w:rPr>
                <w:rFonts w:hint="eastAsia" w:ascii="宋体" w:hAnsi="宋体" w:cs="宋体"/>
                <w:sz w:val="22"/>
              </w:rPr>
              <w:t>2) 座椅上表面边缘以R不小于3mm的圆弧过渡；其它易触及的棱边均圆滑过渡；3) 立柱承载立柱尺寸：50mm×50mm×4.0mm，主要承载横梁尺寸：100mm×50mm×3.0mm; 所有金属件焊后抛丸，静电喷涂，要求喷涂表面均匀全覆盖，结合牢固，不起皮脱落、漏涂、锈蚀、裂痕以及较明显的流痕、花斑、结点等缺陷，涂层厚度70µm。产品涂料配方中有毒有害元素的含量满足GB19272-2011中5.2.6的要求。各部件焊接牢固，无漏焊、虚焊、夹渣、裂纹等缺陷；各连接部位采用螺栓、螺钉紧固，防松、防盗、防锈。</w:t>
            </w:r>
          </w:p>
        </w:tc>
        <w:tc>
          <w:tcPr>
            <w:tcW w:w="771" w:type="dxa"/>
            <w:vAlign w:val="center"/>
          </w:tcPr>
          <w:p>
            <w:pPr>
              <w:jc w:val="center"/>
              <w:rPr>
                <w:rFonts w:hint="eastAsia" w:ascii="宋体" w:hAnsi="宋体" w:cs="宋体"/>
              </w:rPr>
            </w:pPr>
            <w:r>
              <w:rPr>
                <w:rFonts w:hint="eastAsia" w:ascii="宋体" w:hAnsi="宋体" w:cs="宋体"/>
              </w:rPr>
              <w:t>114</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1311910" cy="918845"/>
                  <wp:effectExtent l="0" t="0" r="2540" b="14605"/>
                  <wp:docPr id="8" name="图片 8" descr="C:\Users\think\Desktop\JS-0541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think\Desktop\JS-0541新.jpg"/>
                          <pic:cNvPicPr>
                            <a:picLocks noChangeAspect="1"/>
                          </pic:cNvPicPr>
                        </pic:nvPicPr>
                        <pic:blipFill>
                          <a:blip r:embed="rId11"/>
                          <a:stretch>
                            <a:fillRect/>
                          </a:stretch>
                        </pic:blipFill>
                        <pic:spPr>
                          <a:xfrm>
                            <a:off x="0" y="0"/>
                            <a:ext cx="1311910" cy="918845"/>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9</w:t>
            </w:r>
          </w:p>
        </w:tc>
        <w:tc>
          <w:tcPr>
            <w:tcW w:w="934" w:type="dxa"/>
            <w:vAlign w:val="center"/>
          </w:tcPr>
          <w:p>
            <w:pPr>
              <w:jc w:val="center"/>
              <w:rPr>
                <w:rFonts w:hint="eastAsia" w:ascii="宋体" w:hAnsi="宋体" w:cs="宋体"/>
              </w:rPr>
            </w:pPr>
            <w:r>
              <w:rPr>
                <w:rFonts w:hint="eastAsia" w:ascii="宋体" w:hAnsi="宋体" w:cs="宋体"/>
              </w:rPr>
              <w:t>下腰训练器</w:t>
            </w:r>
          </w:p>
        </w:tc>
        <w:tc>
          <w:tcPr>
            <w:tcW w:w="4162" w:type="dxa"/>
            <w:vAlign w:val="center"/>
          </w:tcPr>
          <w:p>
            <w:pPr>
              <w:rPr>
                <w:rFonts w:hint="eastAsia" w:ascii="宋体" w:hAnsi="宋体" w:cs="宋体"/>
                <w:sz w:val="22"/>
              </w:rPr>
            </w:pPr>
            <w:r>
              <w:rPr>
                <w:rFonts w:hint="eastAsia" w:ascii="宋体" w:hAnsi="宋体" w:cs="宋体"/>
                <w:sz w:val="22"/>
              </w:rPr>
              <w:t>结构特点：1.主要承载立柱采用48×3mm厚的标准钢管，横梁采用38×3mm的钢管，并与其他管材同时满足GB19272—2011标准中相关静载荷、稳定性要求；2.人体易接触区域无剪切点、卡夹、钩挂、缠绕结构；3.下腰板面采取整体式板面，符合人体工学的按摩点;所有金属件焊后抛丸，静电喷涂，要求喷涂表面均匀全覆盖，结合牢固，不起皮脱落、漏涂、锈蚀、裂痕以及较明显的流痕、花斑、结点等缺陷，涂层厚度70µm。产品涂料配方中有毒有害元素的含量满足GB19272-2011中5.2.6的要求。各部件焊接牢固，无漏焊、虚焊、夹渣、裂纹等缺陷；各连接部位采用螺栓、螺钉紧固，防松、防盗、防锈。</w:t>
            </w:r>
          </w:p>
        </w:tc>
        <w:tc>
          <w:tcPr>
            <w:tcW w:w="771" w:type="dxa"/>
            <w:vAlign w:val="center"/>
          </w:tcPr>
          <w:p>
            <w:pPr>
              <w:jc w:val="center"/>
              <w:rPr>
                <w:rFonts w:hint="eastAsia" w:ascii="宋体" w:hAnsi="宋体" w:cs="宋体"/>
              </w:rPr>
            </w:pPr>
            <w:r>
              <w:rPr>
                <w:rFonts w:hint="eastAsia" w:ascii="宋体" w:hAnsi="宋体" w:cs="宋体"/>
              </w:rPr>
              <w:t>114</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1289685" cy="681990"/>
                  <wp:effectExtent l="0" t="0" r="5715" b="3810"/>
                  <wp:docPr id="9" name="图片 9" descr="C:\Users\hp\AppData\Roaming\Tencent\Users\442449813\QQ\WinTemp\RichOle\6`GURC3DJ(D}@${XK8(3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hp\AppData\Roaming\Tencent\Users\442449813\QQ\WinTemp\RichOle\6`GURC3DJ(D}@${XK8(3M`3.png"/>
                          <pic:cNvPicPr>
                            <a:picLocks noChangeAspect="1"/>
                          </pic:cNvPicPr>
                        </pic:nvPicPr>
                        <pic:blipFill>
                          <a:blip r:embed="rId12"/>
                          <a:stretch>
                            <a:fillRect/>
                          </a:stretch>
                        </pic:blipFill>
                        <pic:spPr>
                          <a:xfrm>
                            <a:off x="0" y="0"/>
                            <a:ext cx="1289685" cy="681990"/>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2" w:type="dxa"/>
            <w:vAlign w:val="center"/>
          </w:tcPr>
          <w:p>
            <w:pPr>
              <w:jc w:val="center"/>
              <w:rPr>
                <w:rFonts w:hint="eastAsia" w:ascii="宋体" w:hAnsi="宋体" w:cs="宋体"/>
              </w:rPr>
            </w:pPr>
            <w:r>
              <w:rPr>
                <w:rFonts w:hint="eastAsia" w:ascii="宋体" w:hAnsi="宋体" w:cs="宋体"/>
              </w:rPr>
              <w:t>10</w:t>
            </w:r>
          </w:p>
        </w:tc>
        <w:tc>
          <w:tcPr>
            <w:tcW w:w="934" w:type="dxa"/>
            <w:vAlign w:val="center"/>
          </w:tcPr>
          <w:p>
            <w:pPr>
              <w:jc w:val="center"/>
              <w:rPr>
                <w:rFonts w:hint="eastAsia" w:ascii="宋体" w:hAnsi="宋体" w:cs="宋体"/>
              </w:rPr>
            </w:pPr>
            <w:r>
              <w:rPr>
                <w:rFonts w:hint="eastAsia" w:ascii="宋体" w:hAnsi="宋体" w:cs="宋体"/>
              </w:rPr>
              <w:t>五人站综合训练器</w:t>
            </w:r>
          </w:p>
        </w:tc>
        <w:tc>
          <w:tcPr>
            <w:tcW w:w="4162" w:type="dxa"/>
            <w:vAlign w:val="center"/>
          </w:tcPr>
          <w:p>
            <w:pPr>
              <w:rPr>
                <w:rFonts w:hint="eastAsia" w:ascii="宋体" w:hAnsi="宋体" w:cs="宋体"/>
                <w:sz w:val="22"/>
              </w:rPr>
            </w:pPr>
            <w:r>
              <w:rPr>
                <w:rFonts w:hint="eastAsia" w:ascii="宋体" w:hAnsi="宋体" w:cs="宋体"/>
                <w:sz w:val="22"/>
              </w:rPr>
              <w:t>1．整机规格：200×180×200~220×185×210（cm）；</w:t>
            </w:r>
            <w:r>
              <w:rPr>
                <w:rFonts w:hint="eastAsia" w:ascii="宋体" w:hAnsi="宋体" w:cs="宋体"/>
                <w:sz w:val="22"/>
              </w:rPr>
              <w:br w:type="textWrapping"/>
            </w:r>
            <w:r>
              <w:rPr>
                <w:rFonts w:hint="eastAsia" w:ascii="宋体" w:hAnsi="宋体" w:cs="宋体"/>
                <w:sz w:val="22"/>
              </w:rPr>
              <w:t>2．整机重量：不低于252kg</w:t>
            </w:r>
            <w:r>
              <w:rPr>
                <w:rFonts w:hint="eastAsia" w:ascii="宋体" w:hAnsi="宋体" w:cs="宋体"/>
                <w:sz w:val="22"/>
              </w:rPr>
              <w:br w:type="textWrapping"/>
            </w:r>
            <w:r>
              <w:rPr>
                <w:rFonts w:hint="eastAsia" w:ascii="宋体" w:hAnsi="宋体" w:cs="宋体"/>
                <w:sz w:val="22"/>
              </w:rPr>
              <w:t>3．主要材料选用：主架管、靠背管、座位管、扩胸管等等主架管材规格为：□50×50×2优质钢管。</w:t>
            </w:r>
            <w:r>
              <w:rPr>
                <w:rFonts w:hint="eastAsia" w:ascii="宋体" w:hAnsi="宋体" w:cs="宋体"/>
                <w:sz w:val="22"/>
              </w:rPr>
              <w:br w:type="textWrapping"/>
            </w:r>
            <w:r>
              <w:rPr>
                <w:rFonts w:hint="eastAsia" w:ascii="宋体" w:hAnsi="宋体" w:cs="宋体"/>
                <w:sz w:val="22"/>
              </w:rPr>
              <w:t>4． 面处理：表面采用酸洗除锈——表面磷化——表面静电喷塑处理。整个处理过程符合国家环保要求。</w:t>
            </w:r>
            <w:r>
              <w:rPr>
                <w:rFonts w:hint="eastAsia" w:ascii="宋体" w:hAnsi="宋体" w:cs="宋体"/>
                <w:sz w:val="22"/>
              </w:rPr>
              <w:br w:type="textWrapping"/>
            </w:r>
            <w:r>
              <w:rPr>
                <w:rFonts w:hint="eastAsia" w:ascii="宋体" w:hAnsi="宋体" w:cs="宋体"/>
                <w:sz w:val="22"/>
              </w:rPr>
              <w:t>5． 配重块采用包胶铸铁重块；</w:t>
            </w:r>
            <w:r>
              <w:rPr>
                <w:rFonts w:hint="eastAsia" w:ascii="宋体" w:hAnsi="宋体" w:cs="宋体"/>
                <w:sz w:val="22"/>
              </w:rPr>
              <w:br w:type="textWrapping"/>
            </w:r>
            <w:r>
              <w:rPr>
                <w:rFonts w:hint="eastAsia" w:ascii="宋体" w:hAnsi="宋体" w:cs="宋体"/>
                <w:sz w:val="22"/>
              </w:rPr>
              <w:t>6． 钢丝绳采用φ6mm高强度航空用钢丝绳；</w:t>
            </w:r>
            <w:r>
              <w:rPr>
                <w:rFonts w:hint="eastAsia" w:ascii="宋体" w:hAnsi="宋体" w:cs="宋体"/>
                <w:sz w:val="22"/>
              </w:rPr>
              <w:br w:type="textWrapping"/>
            </w:r>
            <w:r>
              <w:rPr>
                <w:rFonts w:hint="eastAsia" w:ascii="宋体" w:hAnsi="宋体" w:cs="宋体"/>
                <w:sz w:val="22"/>
              </w:rPr>
              <w:t>7．阻力形式：包胶重块式配重砝码</w:t>
            </w:r>
            <w:r>
              <w:rPr>
                <w:rFonts w:hint="eastAsia" w:ascii="宋体" w:hAnsi="宋体" w:cs="宋体"/>
                <w:sz w:val="22"/>
              </w:rPr>
              <w:br w:type="textWrapping"/>
            </w:r>
            <w:r>
              <w:rPr>
                <w:rFonts w:hint="eastAsia" w:ascii="宋体" w:hAnsi="宋体" w:cs="宋体"/>
                <w:sz w:val="22"/>
              </w:rPr>
              <w:t>8．运动站位：五人；</w:t>
            </w:r>
            <w:r>
              <w:rPr>
                <w:rFonts w:hint="eastAsia" w:ascii="宋体" w:hAnsi="宋体" w:cs="宋体"/>
                <w:sz w:val="22"/>
              </w:rPr>
              <w:br w:type="textWrapping"/>
            </w:r>
            <w:r>
              <w:rPr>
                <w:rFonts w:hint="eastAsia" w:ascii="宋体" w:hAnsi="宋体" w:cs="宋体"/>
                <w:sz w:val="22"/>
              </w:rPr>
              <w:t>9．主要功能：坐姿扩胸、坐姿推举、坐姿平推、站姿前推、收腹举腿、手臂屈伸、负重伸腿、后弯腿训练、下拉运动、颈后下拉、曲臂上拉、坐式划船等运动</w:t>
            </w:r>
          </w:p>
        </w:tc>
        <w:tc>
          <w:tcPr>
            <w:tcW w:w="771" w:type="dxa"/>
            <w:vAlign w:val="center"/>
          </w:tcPr>
          <w:p>
            <w:pPr>
              <w:jc w:val="center"/>
              <w:rPr>
                <w:rFonts w:hint="eastAsia" w:ascii="宋体" w:hAnsi="宋体" w:cs="宋体"/>
              </w:rPr>
            </w:pPr>
            <w:r>
              <w:rPr>
                <w:rFonts w:hint="eastAsia" w:ascii="宋体" w:hAnsi="宋体" w:cs="宋体"/>
              </w:rPr>
              <w:t>13</w:t>
            </w:r>
          </w:p>
        </w:tc>
        <w:tc>
          <w:tcPr>
            <w:tcW w:w="2095" w:type="dxa"/>
            <w:vAlign w:val="center"/>
          </w:tcPr>
          <w:p>
            <w:pPr>
              <w:jc w:val="center"/>
              <w:rPr>
                <w:rFonts w:hint="eastAsia" w:ascii="宋体" w:hAnsi="宋体" w:cs="宋体"/>
              </w:rPr>
            </w:pPr>
            <w:r>
              <w:rPr>
                <w:rFonts w:hint="eastAsia" w:ascii="宋体" w:hAnsi="宋体" w:cs="宋体"/>
              </w:rPr>
              <w:drawing>
                <wp:inline distT="0" distB="0" distL="114300" distR="114300">
                  <wp:extent cx="958850" cy="1094105"/>
                  <wp:effectExtent l="0" t="0" r="1270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958850" cy="1094105"/>
                          </a:xfrm>
                          <a:prstGeom prst="rect">
                            <a:avLst/>
                          </a:prstGeom>
                          <a:noFill/>
                          <a:ln w="9525">
                            <a:noFill/>
                          </a:ln>
                        </pic:spPr>
                      </pic:pic>
                    </a:graphicData>
                  </a:graphic>
                </wp:inline>
              </w:drawing>
            </w:r>
          </w:p>
        </w:tc>
        <w:tc>
          <w:tcPr>
            <w:tcW w:w="775" w:type="dxa"/>
            <w:vAlign w:val="top"/>
          </w:tcPr>
          <w:p>
            <w:pPr>
              <w:jc w:val="center"/>
              <w:rPr>
                <w:rFonts w:hint="eastAsia" w:ascii="宋体" w:hAnsi="宋体" w:cs="宋体"/>
              </w:rPr>
            </w:pPr>
          </w:p>
        </w:tc>
      </w:tr>
    </w:tbl>
    <w:p>
      <w:pPr>
        <w:numPr>
          <w:ilvl w:val="0"/>
          <w:numId w:val="2"/>
        </w:numPr>
        <w:spacing w:line="360" w:lineRule="auto"/>
        <w:rPr>
          <w:rFonts w:ascii="宋体" w:hAnsi="宋体"/>
          <w:b/>
          <w:kern w:val="44"/>
          <w:sz w:val="24"/>
        </w:rPr>
      </w:pPr>
      <w:bookmarkStart w:id="2" w:name="_Toc13620"/>
      <w:bookmarkStart w:id="3" w:name="_Toc269717613"/>
      <w:bookmarkStart w:id="4" w:name="_Toc414266276"/>
      <w:bookmarkStart w:id="5" w:name="_Toc414614596"/>
      <w:bookmarkStart w:id="6" w:name="_Toc421277692"/>
      <w:bookmarkStart w:id="7" w:name="_Toc427148986"/>
      <w:bookmarkStart w:id="8" w:name="_Toc414266430"/>
      <w:r>
        <w:rPr>
          <w:rFonts w:hint="eastAsia" w:ascii="宋体" w:hAnsi="宋体"/>
          <w:b/>
          <w:kern w:val="44"/>
          <w:sz w:val="24"/>
        </w:rPr>
        <w:t>商务要求</w:t>
      </w:r>
      <w:bookmarkEnd w:id="2"/>
      <w:bookmarkEnd w:id="3"/>
      <w:bookmarkEnd w:id="4"/>
      <w:bookmarkEnd w:id="5"/>
      <w:bookmarkEnd w:id="6"/>
      <w:bookmarkEnd w:id="7"/>
      <w:bookmarkEnd w:id="8"/>
    </w:p>
    <w:p>
      <w:pPr>
        <w:spacing w:line="360" w:lineRule="auto"/>
        <w:ind w:firstLine="480" w:firstLineChars="200"/>
        <w:rPr>
          <w:rFonts w:hint="eastAsia" w:ascii="宋体" w:hAnsi="宋体"/>
          <w:sz w:val="24"/>
        </w:rPr>
      </w:pPr>
      <w:r>
        <w:rPr>
          <w:rFonts w:hint="eastAsia" w:ascii="宋体" w:hAnsi="宋体"/>
          <w:sz w:val="24"/>
        </w:rPr>
        <w:t>交货期限：合同签订后30日内。</w:t>
      </w:r>
    </w:p>
    <w:p>
      <w:pPr>
        <w:spacing w:line="360" w:lineRule="auto"/>
        <w:ind w:firstLine="480" w:firstLineChars="200"/>
        <w:rPr>
          <w:rFonts w:hint="eastAsia" w:ascii="宋体" w:hAnsi="宋体"/>
          <w:sz w:val="24"/>
        </w:rPr>
      </w:pPr>
      <w:r>
        <w:rPr>
          <w:rFonts w:hint="eastAsia" w:ascii="宋体" w:hAnsi="宋体"/>
          <w:sz w:val="24"/>
        </w:rPr>
        <w:t>交货地点：采购人指定地点。</w:t>
      </w:r>
    </w:p>
    <w:p>
      <w:pPr>
        <w:spacing w:line="360" w:lineRule="auto"/>
        <w:ind w:firstLine="480" w:firstLineChars="200"/>
        <w:rPr>
          <w:rFonts w:hint="eastAsia" w:ascii="宋体" w:hAnsi="宋体"/>
          <w:sz w:val="24"/>
        </w:rPr>
      </w:pPr>
      <w:r>
        <w:rPr>
          <w:rFonts w:hint="eastAsia" w:ascii="宋体" w:hAnsi="宋体"/>
          <w:sz w:val="24"/>
        </w:rPr>
        <w:t>付款方式：合同另行约定。</w:t>
      </w:r>
    </w:p>
    <w:p>
      <w:pPr>
        <w:numPr>
          <w:ilvl w:val="0"/>
          <w:numId w:val="2"/>
        </w:numPr>
        <w:spacing w:line="360" w:lineRule="auto"/>
        <w:rPr>
          <w:rFonts w:ascii="宋体" w:hAnsi="宋体"/>
          <w:b/>
          <w:kern w:val="44"/>
          <w:sz w:val="24"/>
        </w:rPr>
      </w:pPr>
      <w:bookmarkStart w:id="9" w:name="_Toc269717612"/>
      <w:bookmarkStart w:id="10" w:name="_Toc414266277"/>
      <w:bookmarkStart w:id="11" w:name="_Toc24197"/>
      <w:bookmarkStart w:id="12" w:name="_Toc414614597"/>
      <w:bookmarkStart w:id="13" w:name="_Toc421277693"/>
      <w:bookmarkStart w:id="14" w:name="_Toc427148987"/>
      <w:bookmarkStart w:id="15" w:name="_Toc414266431"/>
      <w:r>
        <w:rPr>
          <w:rFonts w:hint="eastAsia" w:ascii="宋体" w:hAnsi="宋体"/>
          <w:b/>
          <w:kern w:val="44"/>
          <w:sz w:val="24"/>
        </w:rPr>
        <w:t>其他要求</w:t>
      </w:r>
      <w:bookmarkEnd w:id="9"/>
      <w:bookmarkEnd w:id="10"/>
      <w:bookmarkEnd w:id="11"/>
      <w:bookmarkEnd w:id="12"/>
      <w:bookmarkEnd w:id="13"/>
      <w:bookmarkEnd w:id="14"/>
      <w:bookmarkEnd w:id="15"/>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cs="宋体"/>
          <w:sz w:val="24"/>
        </w:rPr>
        <w:t>★</w:t>
      </w:r>
      <w:r>
        <w:rPr>
          <w:rFonts w:hint="eastAsia" w:ascii="宋体" w:hAnsi="宋体"/>
          <w:sz w:val="24"/>
        </w:rPr>
        <w:t>普及推广各类体育竞赛、全民健身知识，投标人须承诺每个点位每年提供不少于5次的健身指导（提供承诺函原件）；</w:t>
      </w:r>
    </w:p>
    <w:p>
      <w:pPr>
        <w:spacing w:line="360" w:lineRule="auto"/>
        <w:ind w:firstLine="480" w:firstLineChars="200"/>
        <w:rPr>
          <w:rFonts w:hint="eastAsia" w:ascii="宋体" w:hAnsi="宋体"/>
          <w:sz w:val="24"/>
        </w:rPr>
      </w:pPr>
      <w:r>
        <w:rPr>
          <w:rFonts w:hint="eastAsia" w:ascii="宋体" w:hAnsi="宋体"/>
          <w:sz w:val="24"/>
        </w:rPr>
        <w:t>2、投标人应为器材安装所在地区提供体育事业发展及全民健身活动的策划、组织、指导，在投标文件中提供服务方案。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Arial Narrow">
    <w:altName w:val="Arial"/>
    <w:panose1 w:val="020B0606020202030204"/>
    <w:charset w:val="00"/>
    <w:family w:val="swiss"/>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Times New (W1)">
    <w:altName w:val="Times New Roman"/>
    <w:panose1 w:val="00000000000000000000"/>
    <w:charset w:val="00"/>
    <w:family w:val="auto"/>
    <w:pitch w:val="default"/>
    <w:sig w:usb0="00000000" w:usb1="00000000" w:usb2="00000008" w:usb3="00000000" w:csb0="000001FF" w:csb1="00000000"/>
  </w:font>
  <w:font w:name="华文仿宋">
    <w:altName w:val="仿宋"/>
    <w:panose1 w:val="02010600040101010101"/>
    <w:charset w:val="86"/>
    <w:family w:val="auto"/>
    <w:pitch w:val="default"/>
    <w:sig w:usb0="00000000" w:usb1="00000000" w:usb2="00000010" w:usb3="00000000" w:csb0="0004009F" w:csb1="00000000"/>
  </w:font>
  <w:font w:name="隶书">
    <w:altName w:val="微软雅黑"/>
    <w:panose1 w:val="02010509060101010101"/>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H Yg 2gj">
    <w:altName w:val="宋体"/>
    <w:panose1 w:val="00000000000000000000"/>
    <w:charset w:val="86"/>
    <w:family w:val="swiss"/>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宋体-方正超大字符集">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908BE"/>
    <w:multiLevelType w:val="multilevel"/>
    <w:tmpl w:val="3B5908BE"/>
    <w:lvl w:ilvl="0" w:tentative="0">
      <w:start w:val="1"/>
      <w:numFmt w:val="decimal"/>
      <w:pStyle w:val="2"/>
      <w:suff w:val="space"/>
      <w:lvlText w:val="%1"/>
      <w:lvlJc w:val="left"/>
      <w:pPr>
        <w:ind w:left="0" w:firstLine="0"/>
      </w:pPr>
      <w:rPr>
        <w:rFonts w:hint="eastAsia"/>
        <w:sz w:val="32"/>
      </w:rPr>
    </w:lvl>
    <w:lvl w:ilvl="1" w:tentative="0">
      <w:start w:val="1"/>
      <w:numFmt w:val="decimal"/>
      <w:suff w:val="space"/>
      <w:lvlText w:val="%1.%2"/>
      <w:lvlJc w:val="left"/>
      <w:pPr>
        <w:ind w:left="3686" w:firstLine="0"/>
      </w:pPr>
    </w:lvl>
    <w:lvl w:ilvl="2" w:tentative="0">
      <w:start w:val="1"/>
      <w:numFmt w:val="decimal"/>
      <w:suff w:val="space"/>
      <w:lvlText w:val="%1.%2.%3"/>
      <w:lvlJc w:val="left"/>
      <w:pPr>
        <w:ind w:left="0" w:firstLine="0"/>
      </w:pPr>
      <w:rPr>
        <w:rFonts w:ascii="仿宋" w:hAnsi="仿宋" w:eastAsia="仿宋"/>
        <w:lang w:val="en-US"/>
      </w:rPr>
    </w:lvl>
    <w:lvl w:ilvl="3" w:tentative="0">
      <w:start w:val="1"/>
      <w:numFmt w:val="decimal"/>
      <w:suff w:val="space"/>
      <w:lvlText w:val="%1.%2.%3.%4"/>
      <w:lvlJc w:val="left"/>
      <w:pPr>
        <w:ind w:left="0" w:firstLine="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5885771F"/>
    <w:multiLevelType w:val="singleLevel"/>
    <w:tmpl w:val="5885771F"/>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5A5238"/>
    <w:rsid w:val="615A523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numPr>
        <w:ilvl w:val="0"/>
        <w:numId w:val="1"/>
      </w:numPr>
      <w:tabs>
        <w:tab w:val="left" w:pos="709"/>
      </w:tabs>
      <w:spacing w:before="340" w:after="330" w:line="400" w:lineRule="exact"/>
      <w:jc w:val="center"/>
      <w:outlineLvl w:val="0"/>
    </w:pPr>
    <w:rPr>
      <w:rFonts w:ascii="宋体" w:hAnsi="宋体"/>
      <w:b/>
      <w:color w:val="000000"/>
      <w:kern w:val="44"/>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0.jpe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2017-01-25T02:31:00Z</dcterms:created>
  <dc:creator>Administrator</dc:creator>
  <cp:lastModifiedBy>Administrator</cp:lastModifiedBy>
  <dcterms:modified xsi:type="dcterms:W3CDTF">2017-01-25T02:31:43Z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